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0A3" w:rsidRDefault="006E00A3">
      <w:pPr>
        <w:pStyle w:val="ConsPlusNormal"/>
        <w:jc w:val="right"/>
      </w:pPr>
      <w:bookmarkStart w:id="0" w:name="_GoBack"/>
      <w:bookmarkEnd w:id="0"/>
      <w:r>
        <w:t>Банком России</w:t>
      </w:r>
    </w:p>
    <w:p w:rsidR="006E00A3" w:rsidRDefault="006E00A3">
      <w:pPr>
        <w:pStyle w:val="ConsPlusNormal"/>
        <w:jc w:val="right"/>
      </w:pPr>
      <w:r>
        <w:t>(Протокол N КФНП-26 от 27.07.2017)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right"/>
      </w:pPr>
      <w:r>
        <w:t>Согласован</w:t>
      </w:r>
    </w:p>
    <w:p w:rsidR="006E00A3" w:rsidRDefault="006E00A3">
      <w:pPr>
        <w:pStyle w:val="ConsPlusNormal"/>
        <w:jc w:val="right"/>
      </w:pPr>
      <w:r>
        <w:t>Комитетом по стандартам</w:t>
      </w:r>
    </w:p>
    <w:p w:rsidR="006E00A3" w:rsidRDefault="006E00A3">
      <w:pPr>
        <w:pStyle w:val="ConsPlusNormal"/>
        <w:jc w:val="right"/>
      </w:pPr>
      <w:proofErr w:type="spellStart"/>
      <w:r>
        <w:t>микрофинансовых</w:t>
      </w:r>
      <w:proofErr w:type="spellEnd"/>
      <w:r>
        <w:t xml:space="preserve"> организаций</w:t>
      </w:r>
    </w:p>
    <w:p w:rsidR="006E00A3" w:rsidRDefault="006E00A3">
      <w:pPr>
        <w:pStyle w:val="ConsPlusNormal"/>
        <w:jc w:val="right"/>
      </w:pPr>
      <w:r>
        <w:t>при Банке России</w:t>
      </w:r>
    </w:p>
    <w:p w:rsidR="006E00A3" w:rsidRDefault="006E00A3">
      <w:pPr>
        <w:pStyle w:val="ConsPlusNormal"/>
        <w:jc w:val="right"/>
      </w:pPr>
      <w:r>
        <w:t>(Протокол N 3 от 19.07.2017)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</w:pPr>
      <w:r>
        <w:t>БАЗОВЫЙ СТАНДАРТ</w:t>
      </w:r>
    </w:p>
    <w:p w:rsidR="006E00A3" w:rsidRDefault="006E00A3">
      <w:pPr>
        <w:pStyle w:val="ConsPlusTitle"/>
        <w:jc w:val="center"/>
      </w:pPr>
      <w:r>
        <w:t>ПО УПРАВЛЕНИЮ РИСКАМИ МИКРОФИНАНСОВЫХ ОРГАНИЗАЦИЙ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 xml:space="preserve">Базовый стандарт по управлению рисками для </w:t>
      </w:r>
      <w:proofErr w:type="spellStart"/>
      <w:r>
        <w:t>микрофинансовых</w:t>
      </w:r>
      <w:proofErr w:type="spellEnd"/>
      <w:r>
        <w:t xml:space="preserve"> организаций (далее - Стандарт) разработан на основании </w:t>
      </w:r>
      <w:hyperlink r:id="rId4" w:history="1">
        <w:r>
          <w:rPr>
            <w:color w:val="0000FF"/>
          </w:rPr>
          <w:t>статей 4</w:t>
        </w:r>
      </w:hyperlink>
      <w:r>
        <w:t xml:space="preserve"> и </w:t>
      </w:r>
      <w:hyperlink r:id="rId5" w:history="1">
        <w:r>
          <w:rPr>
            <w:color w:val="0000FF"/>
          </w:rPr>
          <w:t>5</w:t>
        </w:r>
      </w:hyperlink>
      <w:r>
        <w:t xml:space="preserve"> Федерального закона от 13.07.2015 N 223-ФЗ "О саморегулируемых организациях в сфере финансового рынка" и Федерального </w:t>
      </w:r>
      <w:hyperlink r:id="rId6" w:history="1">
        <w:r>
          <w:rPr>
            <w:color w:val="0000FF"/>
          </w:rPr>
          <w:t>закона</w:t>
        </w:r>
      </w:hyperlink>
      <w:r>
        <w:t xml:space="preserve"> от 02.07.2010 N 151-ФЗ "О </w:t>
      </w:r>
      <w:proofErr w:type="spellStart"/>
      <w:r>
        <w:t>микрофинансовой</w:t>
      </w:r>
      <w:proofErr w:type="spellEnd"/>
      <w:r>
        <w:t xml:space="preserve"> деятельности и </w:t>
      </w:r>
      <w:proofErr w:type="spellStart"/>
      <w:r>
        <w:t>микрофинансовых</w:t>
      </w:r>
      <w:proofErr w:type="spellEnd"/>
      <w:r>
        <w:t xml:space="preserve"> организациях" в соответствии с требованиями </w:t>
      </w:r>
      <w:hyperlink r:id="rId7" w:history="1">
        <w:r>
          <w:rPr>
            <w:color w:val="0000FF"/>
          </w:rPr>
          <w:t>Указания</w:t>
        </w:r>
      </w:hyperlink>
      <w:r>
        <w:t xml:space="preserve"> Банка России от 30.05.2016 N 4027-У "О перечне обязательных для разработки саморегулируемыми организациями в сфере финансового рынка, объединяющими </w:t>
      </w:r>
      <w:proofErr w:type="spellStart"/>
      <w:r>
        <w:t>микрофинансовые</w:t>
      </w:r>
      <w:proofErr w:type="spellEnd"/>
      <w:r>
        <w:t xml:space="preserve"> организации, кредитные потребительские кооперативы, базовых стандартов и требованиях к их содержанию, а также перечне операций (содержании видов деятельности) на финансовом рынке, подлежащих стандартизации в зависимости от вида деятельности финансовых организаций" и определяет порядок управления рисками в </w:t>
      </w:r>
      <w:proofErr w:type="spellStart"/>
      <w:r>
        <w:t>микрофинансовой</w:t>
      </w:r>
      <w:proofErr w:type="spellEnd"/>
      <w:r>
        <w:t xml:space="preserve"> организации.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  <w:outlineLvl w:val="1"/>
      </w:pPr>
      <w:r>
        <w:t>Глава 1. Основные термины, определения и сокращения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Используемые в Стандарте основные термины, определения и сокращения имеют следующее значение:</w:t>
      </w:r>
    </w:p>
    <w:p w:rsidR="006E00A3" w:rsidRDefault="006E00A3">
      <w:pPr>
        <w:pStyle w:val="ConsPlusNormal"/>
        <w:spacing w:before="220"/>
        <w:jc w:val="both"/>
      </w:pPr>
      <w:r>
        <w:t>источник (фактор) риска - обстоятельство, состояние среды, способствующее возникновению возможности наступления рискового события;</w:t>
      </w:r>
    </w:p>
    <w:p w:rsidR="006E00A3" w:rsidRDefault="006E00A3">
      <w:pPr>
        <w:pStyle w:val="ConsPlusNormal"/>
        <w:spacing w:before="220"/>
        <w:jc w:val="both"/>
      </w:pPr>
      <w:proofErr w:type="spellStart"/>
      <w:r>
        <w:t>микрофинансовая</w:t>
      </w:r>
      <w:proofErr w:type="spellEnd"/>
      <w:r>
        <w:t xml:space="preserve"> деятельность - деятельность юридических лиц, имеющих статус </w:t>
      </w:r>
      <w:proofErr w:type="spellStart"/>
      <w:r>
        <w:t>микрофинансовой</w:t>
      </w:r>
      <w:proofErr w:type="spellEnd"/>
      <w:r>
        <w:t xml:space="preserve"> организации, а также иных юридических лиц, имеющих право на осуществление </w:t>
      </w:r>
      <w:proofErr w:type="spellStart"/>
      <w:r>
        <w:t>микрофинансовой</w:t>
      </w:r>
      <w:proofErr w:type="spellEnd"/>
      <w:r>
        <w:t xml:space="preserve"> деятельности в соответствии со </w:t>
      </w:r>
      <w:hyperlink r:id="rId8" w:history="1">
        <w:r>
          <w:rPr>
            <w:color w:val="0000FF"/>
          </w:rPr>
          <w:t>статьей 3</w:t>
        </w:r>
      </w:hyperlink>
      <w:r>
        <w:t xml:space="preserve"> Федерального закона от 02.07.2010 N 151-ФЗ "О </w:t>
      </w:r>
      <w:proofErr w:type="spellStart"/>
      <w:r>
        <w:t>микрофинансовой</w:t>
      </w:r>
      <w:proofErr w:type="spellEnd"/>
      <w:r>
        <w:t xml:space="preserve"> деятельности и </w:t>
      </w:r>
      <w:proofErr w:type="spellStart"/>
      <w:r>
        <w:t>микрофинансовых</w:t>
      </w:r>
      <w:proofErr w:type="spellEnd"/>
      <w:r>
        <w:t xml:space="preserve"> организациях", по предоставлению </w:t>
      </w:r>
      <w:proofErr w:type="spellStart"/>
      <w:r>
        <w:t>микрозаймов</w:t>
      </w:r>
      <w:proofErr w:type="spellEnd"/>
      <w:r>
        <w:t xml:space="preserve"> (микрофинансирование);</w:t>
      </w:r>
    </w:p>
    <w:p w:rsidR="006E00A3" w:rsidRDefault="006E00A3">
      <w:pPr>
        <w:pStyle w:val="ConsPlusNormal"/>
        <w:spacing w:before="220"/>
        <w:jc w:val="both"/>
      </w:pPr>
      <w:proofErr w:type="spellStart"/>
      <w:r>
        <w:t>микрофинансовая</w:t>
      </w:r>
      <w:proofErr w:type="spellEnd"/>
      <w:r>
        <w:t xml:space="preserve"> организация (МФО) - юридическое лицо в виде </w:t>
      </w:r>
      <w:proofErr w:type="spellStart"/>
      <w:r>
        <w:t>микрофинансовой</w:t>
      </w:r>
      <w:proofErr w:type="spellEnd"/>
      <w:r>
        <w:t xml:space="preserve"> компании (далее - МФК) или </w:t>
      </w:r>
      <w:proofErr w:type="spellStart"/>
      <w:r>
        <w:t>микрокредитной</w:t>
      </w:r>
      <w:proofErr w:type="spellEnd"/>
      <w:r>
        <w:t xml:space="preserve"> компании (далее - МКК), которое осуществляет </w:t>
      </w:r>
      <w:proofErr w:type="spellStart"/>
      <w:r>
        <w:t>микрофинансовую</w:t>
      </w:r>
      <w:proofErr w:type="spellEnd"/>
      <w:r>
        <w:t xml:space="preserve"> деятельность и сведения о котором внесены в государственный реестр </w:t>
      </w:r>
      <w:proofErr w:type="spellStart"/>
      <w:r>
        <w:t>микрофинансовых</w:t>
      </w:r>
      <w:proofErr w:type="spellEnd"/>
      <w:r>
        <w:t xml:space="preserve"> организаций в порядке, предусмотренном Федеральным </w:t>
      </w:r>
      <w:hyperlink r:id="rId9" w:history="1">
        <w:r>
          <w:rPr>
            <w:color w:val="0000FF"/>
          </w:rPr>
          <w:t>законом</w:t>
        </w:r>
      </w:hyperlink>
      <w:r>
        <w:t xml:space="preserve"> от 02.07.2010 N 151-ФЗ "О </w:t>
      </w:r>
      <w:proofErr w:type="spellStart"/>
      <w:r>
        <w:t>микрофинансовой</w:t>
      </w:r>
      <w:proofErr w:type="spellEnd"/>
      <w:r>
        <w:t xml:space="preserve"> деятельности и </w:t>
      </w:r>
      <w:proofErr w:type="spellStart"/>
      <w:r>
        <w:t>микрофинансовых</w:t>
      </w:r>
      <w:proofErr w:type="spellEnd"/>
      <w:r>
        <w:t xml:space="preserve"> организациях";</w:t>
      </w:r>
    </w:p>
    <w:p w:rsidR="006E00A3" w:rsidRDefault="006E00A3">
      <w:pPr>
        <w:pStyle w:val="ConsPlusNormal"/>
        <w:spacing w:before="220"/>
        <w:jc w:val="both"/>
      </w:pPr>
      <w:r>
        <w:t xml:space="preserve">риск - присущая </w:t>
      </w:r>
      <w:proofErr w:type="spellStart"/>
      <w:r>
        <w:t>микрофинансовой</w:t>
      </w:r>
      <w:proofErr w:type="spellEnd"/>
      <w:r>
        <w:t xml:space="preserve"> деятельности опасность возникновения у МФО непредвиденных потерь вследствие наступления неблагоприятных событий, связанных с внутренними факторами (например, сложность организационной структуры, уровень квалификации работников, организационные изменения, текучесть кадров) и (или) внешними факторами (например, изменение экономических условий деятельности МФО, технологические сбои);</w:t>
      </w:r>
    </w:p>
    <w:p w:rsidR="006E00A3" w:rsidRDefault="006E00A3">
      <w:pPr>
        <w:pStyle w:val="ConsPlusNormal"/>
        <w:spacing w:before="220"/>
        <w:jc w:val="both"/>
      </w:pPr>
      <w:r>
        <w:t>последствия риска - события, которые наиболее вероятно наступят после реализации риска, которые выражаются во влиянии на эффективность и сроки исполнения задач, финансовый результат, репутацию, надежность предоставления услуг, соблюдение прав получателей финансовых услуг, человеческие ресурсы, сохранность активов и другие факторы, влияющие на достижение стратегических и операционных целей МФО;</w:t>
      </w:r>
    </w:p>
    <w:p w:rsidR="006E00A3" w:rsidRDefault="006E00A3">
      <w:pPr>
        <w:pStyle w:val="ConsPlusNormal"/>
        <w:spacing w:before="220"/>
        <w:jc w:val="both"/>
      </w:pPr>
      <w:r>
        <w:lastRenderedPageBreak/>
        <w:t xml:space="preserve">реестр рисков - документ, содержащий информацию о рисках, возникающих в процессе осуществления </w:t>
      </w:r>
      <w:proofErr w:type="spellStart"/>
      <w:r>
        <w:t>микрофинансовой</w:t>
      </w:r>
      <w:proofErr w:type="spellEnd"/>
      <w:r>
        <w:t xml:space="preserve"> деятельности;</w:t>
      </w:r>
    </w:p>
    <w:p w:rsidR="006E00A3" w:rsidRDefault="006E00A3">
      <w:pPr>
        <w:pStyle w:val="ConsPlusNormal"/>
        <w:spacing w:before="220"/>
        <w:jc w:val="both"/>
      </w:pPr>
      <w:r>
        <w:t>рисковое событие - предполагаемое событие или ряд событий, в результате наступления которого (которых), с учетом вероятности их наступления и степени влияния на результат оказания финансовых услуг, у МФО могут возникнуть затруднения при исполнении своих обязательств перед контрагентами в полном объеме и в установленный срок, или иные последствия риска;</w:t>
      </w:r>
    </w:p>
    <w:p w:rsidR="006E00A3" w:rsidRDefault="006E00A3">
      <w:pPr>
        <w:pStyle w:val="ConsPlusNormal"/>
        <w:spacing w:before="220"/>
        <w:jc w:val="both"/>
      </w:pPr>
      <w:r>
        <w:t>система управления рисками (СУР) - совокупность процессов, методик, информационных систем, направленных на достижение целей и задач управления рисками;</w:t>
      </w:r>
    </w:p>
    <w:p w:rsidR="006E00A3" w:rsidRDefault="006E00A3">
      <w:pPr>
        <w:pStyle w:val="ConsPlusNormal"/>
        <w:spacing w:before="220"/>
        <w:jc w:val="both"/>
      </w:pPr>
      <w:r>
        <w:t xml:space="preserve">СРО - саморегулируемая организация в сфере финансового рынка, объединяющая </w:t>
      </w:r>
      <w:proofErr w:type="spellStart"/>
      <w:r>
        <w:t>микрофинансовые</w:t>
      </w:r>
      <w:proofErr w:type="spellEnd"/>
      <w:r>
        <w:t xml:space="preserve"> организации и осуществляющая свою деятельность в соответствии с Федеральным </w:t>
      </w:r>
      <w:hyperlink r:id="rId10" w:history="1">
        <w:r>
          <w:rPr>
            <w:color w:val="0000FF"/>
          </w:rPr>
          <w:t>законом</w:t>
        </w:r>
      </w:hyperlink>
      <w:r>
        <w:t xml:space="preserve"> от 13.07.2015 N 223-ФЗ "О саморегулируемых организациях в сфере финансового рынка";</w:t>
      </w:r>
    </w:p>
    <w:p w:rsidR="006E00A3" w:rsidRDefault="006E00A3">
      <w:pPr>
        <w:pStyle w:val="ConsPlusNormal"/>
        <w:spacing w:before="220"/>
        <w:jc w:val="both"/>
      </w:pPr>
      <w:r>
        <w:t>управление рисками - процессы, осуществляемые руководителями и специалистами на всех уровнях управления МФО и его структурных подразделений, направленные на идентификацию, мониторинг, анализ, оценку и контроль событий, которые могут негативно влиять на достижение целей МФО, снижение вероятности их наступления, минимизацию последствий их наступления, регистрация полученных результатов и составление отчетности;</w:t>
      </w:r>
    </w:p>
    <w:p w:rsidR="006E00A3" w:rsidRDefault="006E00A3">
      <w:pPr>
        <w:pStyle w:val="ConsPlusNormal"/>
        <w:spacing w:before="220"/>
        <w:jc w:val="both"/>
      </w:pPr>
      <w:r>
        <w:t>положение об управлении рисками - внутренний документ, утверждаемый органами управления МФО и определяющий порядок организации и осуществления управления рисками.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  <w:outlineLvl w:val="1"/>
      </w:pPr>
      <w:r>
        <w:t>Глава 2. Общие положения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2.1. МФО должна организовать СУР, связанную с осуществляемой ею деятельностью по оказанию финансовых услуг, в соответствии с требованиями федеральных законов, иных нормативных правовых актов Российской Федерации, нормативных актов Банка России, настоящего Стандарта и внутренних документов МФО, посредством обеспечения осуществления процессов и мероприятий, в том числе: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2.1.1. идентификацию рисков, связанных с осуществляемой деятельностью по оказанию финансовых услуг;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2.1.2. организацию управления рисками, включая установление МФО допустимых уровней потерь (лимитов) по выявленным рискам;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2.1.3. измерение и оценку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2.1.4. контроль за соответствием рисков установленным МФО ограничениям рисков и устранением выявленных нарушений ограничений рисков.</w:t>
      </w:r>
    </w:p>
    <w:p w:rsidR="006E00A3" w:rsidRDefault="006E00A3">
      <w:pPr>
        <w:pStyle w:val="ConsPlusNormal"/>
        <w:spacing w:before="220"/>
        <w:ind w:firstLine="540"/>
        <w:jc w:val="both"/>
      </w:pPr>
      <w:bookmarkStart w:id="1" w:name="P38"/>
      <w:bookmarkEnd w:id="1"/>
      <w:r>
        <w:t xml:space="preserve">2.2. МКК, имеющая сумму задолженности по основному долгу по выданным </w:t>
      </w:r>
      <w:proofErr w:type="spellStart"/>
      <w:r>
        <w:t>микрозаймам</w:t>
      </w:r>
      <w:proofErr w:type="spellEnd"/>
      <w:r>
        <w:t xml:space="preserve"> и иным займам не менее одного миллиарда рублей по состоянию на 31 декабря предыдущего года, и МФК обязаны сформировать отдельное структурное подразделение, ответственное за управление рисками (далее - подразделение риск-менеджмента).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МКК при достижении суммы задолженности по основному долгу по выданным </w:t>
      </w:r>
      <w:proofErr w:type="spellStart"/>
      <w:r>
        <w:t>микрозаймам</w:t>
      </w:r>
      <w:proofErr w:type="spellEnd"/>
      <w:r>
        <w:t xml:space="preserve"> и иным займам, указанной в </w:t>
      </w:r>
      <w:hyperlink w:anchor="P38" w:history="1">
        <w:r>
          <w:rPr>
            <w:color w:val="0000FF"/>
          </w:rPr>
          <w:t>абзаце первом</w:t>
        </w:r>
      </w:hyperlink>
      <w:r>
        <w:t xml:space="preserve"> настоящего пункта, либо в случае получения статуса МФК, обязана сформировать подразделение риск-менеджмента в течение трех месяцев с момента окончания календарного года, в котором сумма задолженности по основному долгу по выданным </w:t>
      </w:r>
      <w:proofErr w:type="spellStart"/>
      <w:r>
        <w:t>микрозаймам</w:t>
      </w:r>
      <w:proofErr w:type="spellEnd"/>
      <w:r>
        <w:t xml:space="preserve"> и иным займам превысила эту сумму, либо с даты получения статуса МФК.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2.3. Ответственным за организацию СУР и за соответствие деятельности МФО внутренним </w:t>
      </w:r>
      <w:r>
        <w:lastRenderedPageBreak/>
        <w:t xml:space="preserve">документам МФО в области СУР является единоличный исполнительный орган МФО или лицо, осуществляющее его функции, или иное лицо, назначенное высшим исполнительным органом МФО. МФО, за исключением случаев, указанных в </w:t>
      </w:r>
      <w:hyperlink w:anchor="P38" w:history="1">
        <w:r>
          <w:rPr>
            <w:color w:val="0000FF"/>
          </w:rPr>
          <w:t>пункте 2.2</w:t>
        </w:r>
      </w:hyperlink>
      <w:r>
        <w:t xml:space="preserve"> Стандарта, по своему усмотрению назначает должностное лицо, ответственное за управление рисками (далее - риск-менеджер) или сформировать подразделение риск-менеджмента. Риск-менеджер или подразделение риск-менеджмента осуществляют свои функции в МФО на постоянной основе.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2.4. МФО должна руководствоваться принципом экономической целесообразности затрат на организацию СУР к масштабу рисков, сопутствующих деятельности МФО, при организации СУР.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  <w:outlineLvl w:val="1"/>
      </w:pPr>
      <w:r>
        <w:t>Глава 3. Цели, задачи и принципы организации СУР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3.1. Основными целями организации СУР являются: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3.1.1. обеспечение устойчивого финансового положения МФО и защита ее активов;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3.1.2. обеспечение разумной гарантии достижения стратегических и операционных целей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3.1.3. обеспечение и защита интересов получателей финансовых услуг, участников (акционеров, учредителей) МФО, а также иных заинтересованных в устойчивом функционировании МФО лиц;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3.1.4. усиление конкурентных преимуществ МФО в результате максимально точной оценки и управления принимаемыми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3.1.5. превентивное выявление угроз деятельности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3.1.6. оперативное реагирование на внешние и внутренние изменения;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3.1.7. предотвращение последствий возможных неблагоприятных событий.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3.2. Задачами организации управления рисками МФО являются: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3.2.1. своевременная идентификация, анализ, оценка рисков и реагирование на них с целью уменьшения вероятности их возникновения и (или) последствий в случае их реализации;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3.2.2. интеграция СУР с основными бизнес-процессами МФО и вовлечение работников МФО в процесс управления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3.2.3. развитие внутренней среды, способствующей управлению рисками, путем проведения обучающих мероприятий по риск-менеджменту;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3.2.4. регулярное информирование органов управления МФО, установленных внутренними документами МФО, в том числе о текущем уровне рисков в порядке и с периодичностью, предусмотренными Положением об управлении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3.2.5. повышение уровня ответственности сотрудников за управление рисками, в том числе путем закрепления в должностных инструкциях, положениях о структурных подразделениях и иных внутренних документах МФО положений о привлечении к ответственности сотрудников за нарушение внутренних документов МФО и Стандарта.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 МФО организует СУР на следующих принципах: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3.3.1. Соответствие СУР виду деятельности МФО, характеру и объемам совершаемых операций (принцип пропорциональности).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lastRenderedPageBreak/>
        <w:t>МФО признает наличие рисков, сопутствующих ее деятельности, и оценивает их влияние на деятельность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Управление рисками осуществляется по всем основным видам деятельности, на всех уровнях управления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В случае совмещения МФО </w:t>
      </w:r>
      <w:proofErr w:type="spellStart"/>
      <w:r>
        <w:t>микрофинансовой</w:t>
      </w:r>
      <w:proofErr w:type="spellEnd"/>
      <w:r>
        <w:t xml:space="preserve"> деятельности с иными видами деятельности СУР должна учитывать влияние всех осуществляемых МФО видов деятельности.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Работники МФО, совершающие операции, подверженные рискам, должны быть осведомлены о риске операций и должны осуществлять идентификацию, анализ и оценку рисков перед совершением операций в соответствии с Положением об управлении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3.3.2. Принцип непрерывности процесса управления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МФО обеспечивает проведение на непрерывной основе процедур, предусмотренных СУР, осуществляемых в соответствии с внутренними документами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3.3.3. Принцип документирования процедур в рамках СУР.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МФО обеспечивает документальную фиксацию необходимой информации, связанной с организацией СУР, а также утверждение органами управления МФО методологических и регламентных документов по управлению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3.3.4. Принцип обеспечения своевременного доведения информации, касающейся СУР, до сведения органов управления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Работники МФО в соответствии с их должностными обязанностями обязаны информировать риск-менеджера или руководителя подразделения риск-менеджмента о рисках, возникающих в процессе выполнения их должностных обязанностей. Риск-менеджер или подразделение риск-менеджмента обязаны с периодичностью и в порядке, предусмотренной Положением об управлении рисками, но не реже одного раза в год, (для МФО, соответствующих критериям, установленным </w:t>
      </w:r>
      <w:hyperlink w:anchor="P38" w:history="1">
        <w:r>
          <w:rPr>
            <w:color w:val="0000FF"/>
          </w:rPr>
          <w:t>абзацем первым пункта 2.2</w:t>
        </w:r>
      </w:hyperlink>
      <w:r>
        <w:t xml:space="preserve"> Стандарта - не реже одного раза в полгода) предоставлять органам управления МФО, установленным Положением об управлении рисками и иными внутренними документами МФО, в том числе информацию об уровне принятых МФО рисков и фактах нарушений, выявленных в ходе выполнения установленных процедур управления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МФО обязана организовать распространение информации, обеспечивающей осведомленность работников МФО относительно целей и задач СУР, а также обязанностей, возникающих в ходе реализации мероприятий по управлению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3.3.5. Принцип эффективности (достижения заданных результатов с использованием наименьшего объема средств) и оптимальности процессов управления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Объем и сложность процедур и мер по управлению рисками должны соответствовать целям организации СУР.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МФО проводит анализ соотношения затрат на выполнение процедур и (или) мероприятий по управлению рисками и эффекта от реализации этих процедур и (или) мероприятий. По итогам проведенного анализа производится пересмотр внутренних документов по управлению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3.3.6. Принцип разделения полномочий.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Решения о минимизации рисков могут приниматься на различных уровнях управления МФО в зависимости от значимости рисков (размера вероятных потерь при наступлении рискового </w:t>
      </w:r>
      <w:r>
        <w:lastRenderedPageBreak/>
        <w:t>события) и вероятности их реализации. Решения о проведении операций, влекущих возникновение рисков, принимаются коллегиально группой должностных лиц либо комитетом, к полномочиям которых отнесено решение подобных вопросов в соответствии с внутренними документами по управлению рисками МФО, за исключением случаев, когда такое право в соответствии с внутренними документами МФО предоставлено органам управления или отдельным должностным лицам.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МФО должны быть приняты меры по распределению полномочий между структурными подразделениями и (или) работниками МФО, на которых возложены обязанности по проведению операций, связанных с принятием рисков, и риск-менеджером и (или) подразделением риск-менеджмента, на уровне организационной структуры таким образом, чтобы проведение операций, связанных с принятием рисков, и управление рисками не являлись функциями одного структурного подразделения (должностного лица).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  <w:outlineLvl w:val="1"/>
      </w:pPr>
      <w:r>
        <w:t>Глава 4. Подходы к организации системы управления</w:t>
      </w:r>
    </w:p>
    <w:p w:rsidR="006E00A3" w:rsidRDefault="006E00A3">
      <w:pPr>
        <w:pStyle w:val="ConsPlusTitle"/>
        <w:jc w:val="center"/>
      </w:pPr>
      <w:r>
        <w:t>рисками МФО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4.1. В рамках организации СУР МФО должна обеспечить организацию процессов, в том числе: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4.1.1. идентификацию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4.1.2. мониторинг, измерение и оценка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4.1.3. управление рисками и контроль за обеспечением управления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4.2. Идентификация рисков.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4.2.1. Идентификация рисков осуществляется на всех уровнях управления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4.2.2. МФО принимает все возможные и доступные меры по идентификации существующих рисков, используя источники информации, в том числе: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письменные опросы и анкетирование работников МФО и привлеченных внешних экспертов;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мнения независимых аналитиков и консультантов;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данные о среднеотраслевых показателях в российской и мировой практике;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результаты внутреннего и внешнего аудита;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информацию, полученную в ходе мероприятий в рамках организации в МФО СУР.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4.2.3. МФО в рамках организации СУР по своему усмотрению обеспечивает осуществление мероприятий по управлению видами рисков, включенными в перечень рисков в </w:t>
      </w:r>
      <w:hyperlink w:anchor="P189" w:history="1">
        <w:r>
          <w:rPr>
            <w:color w:val="0000FF"/>
          </w:rPr>
          <w:t>Приложении N 1</w:t>
        </w:r>
      </w:hyperlink>
      <w:r>
        <w:t xml:space="preserve"> к Стандарту, а также иными видами рисков по собственному усмотрению.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4.2.4. МФО обязано включить в СУР мероприятия по управлению рисками, признанными наиболее опасными в соответствии с картой рисков согласно </w:t>
      </w:r>
      <w:hyperlink w:anchor="P213" w:history="1">
        <w:r>
          <w:rPr>
            <w:color w:val="0000FF"/>
          </w:rPr>
          <w:t>Приложению N 2</w:t>
        </w:r>
      </w:hyperlink>
      <w:r>
        <w:t xml:space="preserve"> к Стандарту, а также мероприятия по управлению следующими рисками: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кредитный риск &lt;1&gt;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риск ликвидности &lt;2&gt;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операционный риск &lt;3&gt;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правовой риск &lt;4&gt;.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lastRenderedPageBreak/>
        <w:t>--------------------------------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&lt;1&gt; Понятие "кредитного риска" предусмотрено в </w:t>
      </w:r>
      <w:hyperlink w:anchor="P189" w:history="1">
        <w:r>
          <w:rPr>
            <w:color w:val="0000FF"/>
          </w:rPr>
          <w:t>приложении 1</w:t>
        </w:r>
      </w:hyperlink>
      <w:r>
        <w:t xml:space="preserve"> Стандарта.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&lt;2&gt; Понятие "риска ликвидности" предусмотрено в </w:t>
      </w:r>
      <w:hyperlink w:anchor="P189" w:history="1">
        <w:r>
          <w:rPr>
            <w:color w:val="0000FF"/>
          </w:rPr>
          <w:t>приложении 1</w:t>
        </w:r>
      </w:hyperlink>
      <w:r>
        <w:t xml:space="preserve"> Стандарта.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&lt;3&gt; Понятие "операционного риска" предусмотрено в </w:t>
      </w:r>
      <w:hyperlink w:anchor="P189" w:history="1">
        <w:r>
          <w:rPr>
            <w:color w:val="0000FF"/>
          </w:rPr>
          <w:t>приложении N 1</w:t>
        </w:r>
      </w:hyperlink>
      <w:r>
        <w:t xml:space="preserve"> Стандарта.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&lt;4&gt; Понятие "правового риска" предусмотрено в </w:t>
      </w:r>
      <w:hyperlink w:anchor="P189" w:history="1">
        <w:r>
          <w:rPr>
            <w:color w:val="0000FF"/>
          </w:rPr>
          <w:t>приложении N 1</w:t>
        </w:r>
      </w:hyperlink>
      <w:r>
        <w:t xml:space="preserve"> Стандарта.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4.2.5. Идентифицированные риски и результаты их оценки включаются в реестр рисков. Реестр рисков должен пересматриваться по мере необходимости, с периодичностью, предусмотренной Положением об управлении рисками, но не реже одного раза в год, с учетом результатов идентификации рисков в целях актуализации содержащихся в нем данных.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4.2.6. Реестр рисков должен содержать следующую информацию: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описание риска;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определение источников (факторов) риска;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качественное описание последствий реализации риска (сценариев развития событий) и оценка их влияния на деятельность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оценка вероятности реализации риска;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оценка влияния риска на другие риски;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мероприятия и/или процедуры по управлению риском;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лицо и/или подразделение, ответственное за проведение и учет операций, подверженных рискам;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лицо и/или подразделение, ответственное за мероприятия по управлению данным риском;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примечания, перечень используемых для идентификации и оценки риска источников информации и другие сведения.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4.3. Мониторинг, измерение и оценка рисков.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4.3.1. Мониторинг рисков реализуется путем получения от структурных подразделений, работников МФО, на которых возложены обязанности по проведению операций, связанных с принятием рисков, риск-менеджеров, подразделений риск-менеджмента и других источников на регулярной основе и анализа информации о рисках, результатах проведения мероприятий по управлению рисками, а также о ходе реализации мероприятий по управлению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4.3.2. Измерение и оценка совокупных вероятных последствий рисков, а также вероятных последствий отдельных рисков, включенных в реестр рисков МФО, должны осуществляться в соответствии с порядком, определяемым Положением об управлении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4.3.3. Работники МФО принимают участие в организации процесса непрерывного мониторинга рисков в соответствии с требованиями, установленными Положением об управлении рисками и иными внутренними документами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4.4. Управление рисками и контроль за обеспечением управления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4.4.1. По результатам оценки идентифицированных рисков риск-менеджер или </w:t>
      </w:r>
      <w:r>
        <w:lastRenderedPageBreak/>
        <w:t>подразделения риск-менеджмента разрабатывают, внедряют мероприятия по управлению рисками и доводят информацию о них до сведения органов управления МФО в соответствии с Положением об управлении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4.4.2. Процедуры контроля за обеспечением управления рисками включают регулярное направление информации и отчетов, соответствующих требованиям </w:t>
      </w:r>
      <w:hyperlink w:anchor="P173" w:history="1">
        <w:r>
          <w:rPr>
            <w:color w:val="0000FF"/>
          </w:rPr>
          <w:t>пункта 5.10</w:t>
        </w:r>
      </w:hyperlink>
      <w:r>
        <w:t xml:space="preserve"> Стандарта, органам управления МФО и должностным лицам, ответственным за обеспечение управления рисками в соответствии с внутренними документами по управлению рисками МФО с периодичностью, установленной внутренними документами МФО, но не реже одного раза в год (для МФО, соответствующих критериям, установленным </w:t>
      </w:r>
      <w:hyperlink w:anchor="P38" w:history="1">
        <w:r>
          <w:rPr>
            <w:color w:val="0000FF"/>
          </w:rPr>
          <w:t>пунктом 2.2</w:t>
        </w:r>
      </w:hyperlink>
      <w:r>
        <w:t xml:space="preserve"> Стандарта - не реже одного раза в полгода).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4.4.3. Мероприятия по управлению рисками по усмотрению МФО включают, в том числе следующие процедуры: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оптимизация риска - процедуры, направленные на снижение вероятности риска, либо на уменьшение последствий риска (в том числе процедуры, направленные на минимизацию последствий риска, являющегося причиной возникновения оптимизируемого риска);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передача риска - переход последствий риска от МФО полностью или частично к другой организации на основании договора (например, договора страхования, в соответствии с которым риск передается страховой компании, либо передача третьим лицам операций, подверженных рискам (аутсорсинг), либо хеджирование риска при помощи производных финансовых инструментов);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избежание риска - замена операций, подверженных рискам, на операции с меньшим риском, либо отказ от совершения операций, подверженных рискам, а также процедуры, направленные на устранение источников (факторов) риска, возникающего при осуществлении операций;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включение в бюджет МФО расходов на оперативное устранение последствий рисковых событий.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  <w:outlineLvl w:val="1"/>
      </w:pPr>
      <w:r>
        <w:t>Глава 5. Система разделения полномочий, функционал</w:t>
      </w:r>
    </w:p>
    <w:p w:rsidR="006E00A3" w:rsidRDefault="006E00A3">
      <w:pPr>
        <w:pStyle w:val="ConsPlusTitle"/>
        <w:jc w:val="center"/>
      </w:pPr>
      <w:r>
        <w:t>и внутренние процедуры МФО в сфере управления рисками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5.1. Положение об управлении рисками должно содержать следующие положения: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цели и задачи управления рисками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организационную структуру СУР МФО, полномочия органов управления, отдельных работников МФО в сфере управления рисками и порядок их взаимодействия;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основные подходы к идентификации, оценке, контролю рисков и реагированию на риски, а также к минимизации негативных последствий реализации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порядок определения приемлемых уровней рисков и допустимых вероятных последствий риска по отдельным видам риска и по организации в целом;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порядок действий в нестандартных и чрезвычайных ситуациях;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порядок фиксации решений должностных лиц, ответственных за операции, связанные с принятием рисков, решений органов управления МФО, по вопросам управления рисками, а также мероприятий, событий и действий, связанных с управлением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- порядок и сроки представления должностными лицами и (или) структурными </w:t>
      </w:r>
      <w:r>
        <w:lastRenderedPageBreak/>
        <w:t>подразделениями, ответственными за обеспечение управления рисками, внутренней отчетности по управлению рисками, порядок обмена информацией по вопросам управления рисками и доведения до работников МФО Положения об управлении рисками и иных внутренних документов, связанных с управлением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принципы и порядок раскрытия информации об управлении рисками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- порядок ведения реестра рисков, возникающих в процессе осуществления </w:t>
      </w:r>
      <w:proofErr w:type="spellStart"/>
      <w:r>
        <w:t>микрофинансовой</w:t>
      </w:r>
      <w:proofErr w:type="spellEnd"/>
      <w:r>
        <w:t xml:space="preserve"> деятельности (реестр рисков).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5.2. Положение об управлении рисками может состоять из одного или нескольких документов.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5.3. Положение об управлении рисками пересматривается по мере необходимости, но не реже одного раза в год в целях актуализации содержащихся в них сведений и (или) повышения эффективности функционирования СУР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5.4. МФО назначает риск-менеджера или формирует структурное подразделение риск-менеджмента.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5.4.1. При наличии у МФО дочерних компаний, осуществляющих </w:t>
      </w:r>
      <w:proofErr w:type="spellStart"/>
      <w:r>
        <w:t>микрофинансовую</w:t>
      </w:r>
      <w:proofErr w:type="spellEnd"/>
      <w:r>
        <w:t xml:space="preserve"> деятельность, в штат работников каждой дочерней компании может быть включен риск-менеджер и (или) создано подразделение риск-менеджмента дочерней компании. Также функции риск-менеджера (подразделения риск-менеджмента) дочерней компании может исполнять по договору риск-менеджер (подразделение риск-менеджмента) головной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5.4.2. При вхождении МФО в группу компаний, осуществляющую </w:t>
      </w:r>
      <w:proofErr w:type="spellStart"/>
      <w:r>
        <w:t>микрофинансовую</w:t>
      </w:r>
      <w:proofErr w:type="spellEnd"/>
      <w:r>
        <w:t xml:space="preserve"> деятельность, функции риск-менеджера и (или) подразделения риск-менеджмента МФО может исполнять по договору риск-менеджер (подразделение риск-менеджмента) МФО - головной организации группы или МФО - участника группы.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5.4.3. Часть функций риск-менеджера и (или) подразделения риск-менеджмента МФО (за исключением МФО, соответствующих критериям, установленным </w:t>
      </w:r>
      <w:hyperlink w:anchor="P38" w:history="1">
        <w:r>
          <w:rPr>
            <w:color w:val="0000FF"/>
          </w:rPr>
          <w:t>пунктом 2.2</w:t>
        </w:r>
      </w:hyperlink>
      <w:r>
        <w:t xml:space="preserve"> Стандарта) могут быть переданы по договору сторонней организации. Передача функций риск-менеджера и (или) подразделения риск-менеджмента не освобождает от ответственности за организацию СУР и за соответствие деятельности МФО Положению об управлении рисками и иным внутренним документам МФО в области СУР риск-менеджера и (или) подразделение риск-менеджмента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5.5. Положением об управлении рисками и иными внутренними документами МФО должно быть определено, какие из следующих вопросов управления рисками относятся к компетенции совета директоров (наблюдательного совета) МФО, общего собрания участников (акционеров) МФО, исполнительных органов МФО, иных органов и подразделений МФО: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разработка Положения об управлении рисками и иных внутренних документов МФО, регулирующих вопросы управления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распределение полномочий в сфере управления рисками между структурными подразделениями, отдельными работниками, осуществляющими управленческие функции, установление порядка взаимодействия, обмена данными и представления внутренней отчетности по управлению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утверждение правил и методов оценки рисков и формирования внутренней отчетности по управлению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обеспечение необходимыми ресурсами работников МФО для осуществления ими управления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lastRenderedPageBreak/>
        <w:t>- обеспечение работников МФО доступом к информации, необходимой для реализации мероприятий и процедур по управлению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установление допустимых уровней потерь (лимитов) по всем выявленным рискам МФО на основании предложений риск-менеджера или руководителя подразделения риск менеджмента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организация обучения работников МФО методам управления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организация внутренних расследований случаев реализации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информирование органов управления МФО о фактах нарушения положений внутренних документов МФО по управлению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периодичность мониторинга актуальности реестра рисков и проведения мониторинга актуальности внутренних документов по управлению рисками.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5.6. К компетенции риск-менеджера или подразделения риск-менеджмента относится решение следующих вопросов: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разработка и внедрение методик идентификации, оценки и контроля уровня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разработка и внедрение мер и процедур реагирования и минимизации рисков и организация устранения последствий реализации рисков;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анализ и прогнозирование состояния СУР, выявление критических (наиболее опасных) бизнес-процессов и источников рисков, участие в оценке достаточности капитала, финансовых ресурсов и резервов, предназначенных для управления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выявление и изучение возможных угроз возникновения рисков в профессиональной деятельности МФО, планирование профилактических мероприятий;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оперативный анализ рисков операций, контрагентов, клиентов, подготовка рекомендаций по минимизации рисков, участие в согласовании операций, связанных с принятием рисков, в пределах компетенции, в случае если это предусмотрено внутренними документами МФО;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координация взаимодействия подразделений и работников МФО по вопросам управления рисками в пределах компетенции в соответствии с порядком, установленным Положением об управлении рисками и иными внутренними документами;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анализ случившихся рисковых событий;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разработка программ обучения работников МФО методам и инструментам управления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подготовка и представление должностным лицам, ответственным за обеспечение управления рисками, и органам управления МФО, установленным Положением об управлении рисками и иными внутренними документами МФО, внутренней отчетности по управлению рисками в МФО в пределах компетенции.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5.7. Риск-менеджер или подразделение риск-менеджмента должны быть независимы в своей деятельности от других структурных подразделений МФО и подчиняться по усмотрению МФО непосредственно совету директоров, или единоличному исполнительному органу, или иным органам управления МФО, уполномоченным органами управления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5.8. Риск-менеджер и (или) руководитель подразделения риск-менеджмента должен обладать соответствующей его должности квалификацией, определенной Положением об </w:t>
      </w:r>
      <w:r>
        <w:lastRenderedPageBreak/>
        <w:t>управлении рисками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5.9. МФО создает эффективную систему внутренней отчетности по управлению рисками. Объем отчетности должен быть соизмерим с уровнем рисков и масштабом деятельности МФО (рекомендуемая форма отчетности в </w:t>
      </w:r>
      <w:hyperlink w:anchor="P282" w:history="1">
        <w:r>
          <w:rPr>
            <w:color w:val="0000FF"/>
          </w:rPr>
          <w:t>Приложении N 3</w:t>
        </w:r>
      </w:hyperlink>
      <w:r>
        <w:t xml:space="preserve"> к Стандарту).</w:t>
      </w:r>
    </w:p>
    <w:p w:rsidR="006E00A3" w:rsidRDefault="006E00A3">
      <w:pPr>
        <w:pStyle w:val="ConsPlusNormal"/>
        <w:spacing w:before="220"/>
        <w:ind w:firstLine="540"/>
        <w:jc w:val="both"/>
      </w:pPr>
      <w:bookmarkStart w:id="2" w:name="P173"/>
      <w:bookmarkEnd w:id="2"/>
      <w:r>
        <w:t>5.10. Внутренняя отчетность по управлению рисками должна содержать, в том числе следующую информацию: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лицо и (или) структурное подразделение, ответственное за реализацию мероприятий по управлению рисками;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периодичность и срок проведения мероприятий, в том числе фактический срок выполнения мероприятий;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статус выполнения мероприятия;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остаточный риск после выполнения комплекса мероприятий;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мероприятия, направленные на минимизацию остаточных рисков и сроки их проведения;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паспорт риска, включающий информацию о рисках, о мероприятиях по управлению рисками, о реализовавшихся рисках, процедуры реагирования на рисковое событие, ключевые индикаторы риска.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  <w:outlineLvl w:val="1"/>
      </w:pPr>
      <w:r>
        <w:t>Глава 6. Заключительные положения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6.1. Настоящий стандарт применяется через сто восемьдесят дней со дня его размещения на официальном сайте Банка России в информационно - телекоммуникационной сети "Интернет".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right"/>
        <w:outlineLvl w:val="0"/>
      </w:pPr>
      <w:bookmarkStart w:id="3" w:name="P189"/>
      <w:bookmarkEnd w:id="3"/>
      <w:r>
        <w:t>Приложение N 1</w:t>
      </w:r>
    </w:p>
    <w:p w:rsidR="006E00A3" w:rsidRDefault="006E00A3">
      <w:pPr>
        <w:pStyle w:val="ConsPlusNormal"/>
        <w:jc w:val="right"/>
      </w:pPr>
      <w:r>
        <w:t>к Стандарту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К основным видам рисков МФО относятся: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Кредитный риск - риск возникновения у МФО убытков вследствие неисполнения, несвоевременного либо неполного исполнения заемщиком или иным контрагентом договорных обязательств перед МФО.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Рыночный риск - риск возникновения у МФО убытков вследствие неблагоприятного изменения рыночной </w:t>
      </w:r>
      <w:proofErr w:type="spellStart"/>
      <w:r>
        <w:t>коньюктуры</w:t>
      </w:r>
      <w:proofErr w:type="spellEnd"/>
      <w:r>
        <w:t>, текущей (справедливой) стоимости финансовых инструментов, а также курсов иностранных валют и (или) учетных цен на драгоценные металлы.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Процентный риск - риск ухудшения финансового положения МФО вследствие снижения размера капитала, уровня доходов, стоимости активов в результате изменения процентных ставок на рынке.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Риск ликвидности - риск неспособности МФО финансировать свою деятельность, то есть обеспечивать рост активов и выполнять обязательства по мере наступления сроков их исполнения без </w:t>
      </w:r>
      <w:proofErr w:type="spellStart"/>
      <w:r>
        <w:t>понесения</w:t>
      </w:r>
      <w:proofErr w:type="spellEnd"/>
      <w:r>
        <w:t xml:space="preserve"> убытков в размере, угрожающем финансовой устойчивости </w:t>
      </w:r>
      <w:proofErr w:type="spellStart"/>
      <w:r>
        <w:t>микрофинансовой</w:t>
      </w:r>
      <w:proofErr w:type="spellEnd"/>
      <w:r>
        <w:t xml:space="preserve"> организации.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lastRenderedPageBreak/>
        <w:t>Операционный риск - риск возникновения убытков в результате ненадежности и недостатков внутренних процедур управления МФО, отказа информационных и иных систем либо вследствие влияния на деятельность МФО внешних событий.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Правовой риск - риск возникновения у МФО убытков вследствие: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допускаемых правовых ошибок при осуществлении деятельности (неправильные юридические консультации или неверное составление документов, в том числе при рассмотрении спорных вопросов в судебных органах);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несовершенства правовой системы (противоречивость законодательства, отсутствие правовых норм по регулированию отдельных вопросов, возникающих в процессе деятельности МФО);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- нарушения контрагентами нормативных правовых актов, а также нарушения МФО или ее контрагентами условий заключенных договоров.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Регуляторный риск - риск возникновения убытков из-за несоблюдения МФО требований законодательства Российской Федерации, нормативных правовых актов (включая нормативные акты Банка России), базовых стандартов, внутренних документов </w:t>
      </w:r>
      <w:proofErr w:type="spellStart"/>
      <w:r>
        <w:t>микрофинансовой</w:t>
      </w:r>
      <w:proofErr w:type="spellEnd"/>
      <w:r>
        <w:t xml:space="preserve"> организации, а также в результате применения санкций и (или) иных мер воздействия со стороны надзорных органов.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Риск потери деловой репутации МФО (</w:t>
      </w:r>
      <w:proofErr w:type="spellStart"/>
      <w:r>
        <w:t>репутационный</w:t>
      </w:r>
      <w:proofErr w:type="spellEnd"/>
      <w:r>
        <w:t xml:space="preserve"> риск) - риск возникновения у МФО убытков в результате негативного восприятия МФО со стороны ее участников, контрагентов, надзорных органов и иных заинтересованных сторон, которые могут негативно повлиять на способность МФО поддерживать существующие и (или) устанавливать новые деловые отношения и поддерживать на постоянной основе доступ к источникам финансирования.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Стратегический риск - риск неблагоприятного изменения результатов деятельности МФО вследствие принятия ошибочных решений в процессе управления МФО, в том числе при разработке, утверждении и реализации стратегии развития МФО, ненадлежащем исполнении принятых решений, а также неспособности органов управления МФО учитывать изменения внешних факторов.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right"/>
        <w:outlineLvl w:val="0"/>
      </w:pPr>
      <w:r>
        <w:t>Приложение N 2</w:t>
      </w:r>
    </w:p>
    <w:p w:rsidR="006E00A3" w:rsidRDefault="006E00A3">
      <w:pPr>
        <w:pStyle w:val="ConsPlusNormal"/>
        <w:jc w:val="right"/>
      </w:pPr>
      <w:r>
        <w:t>к Стандарту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jc w:val="center"/>
      </w:pPr>
      <w:bookmarkStart w:id="4" w:name="P213"/>
      <w:bookmarkEnd w:id="4"/>
      <w:r>
        <w:t>КАРТА РИСКА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>Общий подход к построению карты рисков: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Карта рисков представляет собой схематичное отображение классификации рисков по степени их значимости и вероятности реализации.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Значимость представляет собой характеристику степени возможного ущерба от рискового события (прямые финансовые потери, упущенные возможности и косвенные финансовые потери, невыполнение поставленных целей и задач и др.). Значимость может быть измерена в денежном выражении как оценка возможных потерь от рискового события, но недопустимо использовать денежную оценку в качестве единственной меры существенности риска.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 xml:space="preserve">Вероятность реализации риска определяет вероятность наступления рискового события, </w:t>
      </w:r>
      <w:r>
        <w:lastRenderedPageBreak/>
        <w:t>приносящего ущерб. Вероятность может оцениваться при помощи статистических моделей или методов экспертной оценки.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В карте рисков анализируемые риски группируются в зависимости от степеней значимости и вероятности их реализации. Рекомендуется выделять низкую, среднюю и высокую степень значимости риска и вероятности его реализации.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В карте риска формируется 9 сегментов, в которых группируются риски, имеющие равные оценки значимости и вероятности реализации. Деление рисков по этим сегментам производится с целью дифференциации подходов к управлению рисками, имеющими различный уровень значимости и вероятности реализации.</w:t>
      </w:r>
    </w:p>
    <w:p w:rsidR="006E00A3" w:rsidRDefault="006E00A3">
      <w:pPr>
        <w:pStyle w:val="ConsPlusNormal"/>
        <w:spacing w:before="220"/>
        <w:ind w:firstLine="540"/>
        <w:jc w:val="both"/>
      </w:pPr>
      <w:r>
        <w:t>Наиболее опасными признаются риски, сгруппированные в сегментах, соответствующих одновременно высокой степени значимости и высокой вероятности реализации, высокой степени значимости и средней степени вероятности реализации, средней степени значимости и высокой степени вероятности реализации.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outlineLvl w:val="1"/>
      </w:pPr>
      <w:r>
        <w:t>Таблица 1. Структура карты рисков</w:t>
      </w:r>
    </w:p>
    <w:p w:rsidR="006E00A3" w:rsidRDefault="006E00A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81"/>
        <w:gridCol w:w="2324"/>
        <w:gridCol w:w="2211"/>
        <w:gridCol w:w="2154"/>
      </w:tblGrid>
      <w:tr w:rsidR="006E00A3">
        <w:tc>
          <w:tcPr>
            <w:tcW w:w="2381" w:type="dxa"/>
          </w:tcPr>
          <w:p w:rsidR="006E00A3" w:rsidRDefault="006E00A3">
            <w:pPr>
              <w:pStyle w:val="ConsPlusNormal"/>
            </w:pPr>
          </w:p>
        </w:tc>
        <w:tc>
          <w:tcPr>
            <w:tcW w:w="2324" w:type="dxa"/>
          </w:tcPr>
          <w:p w:rsidR="006E00A3" w:rsidRDefault="006E00A3">
            <w:pPr>
              <w:pStyle w:val="ConsPlusNormal"/>
              <w:jc w:val="center"/>
            </w:pPr>
            <w:r>
              <w:t>Высокая значимость</w:t>
            </w:r>
          </w:p>
        </w:tc>
        <w:tc>
          <w:tcPr>
            <w:tcW w:w="2211" w:type="dxa"/>
          </w:tcPr>
          <w:p w:rsidR="006E00A3" w:rsidRDefault="006E00A3">
            <w:pPr>
              <w:pStyle w:val="ConsPlusNormal"/>
              <w:jc w:val="center"/>
            </w:pPr>
            <w:r>
              <w:t>Средняя значимость</w:t>
            </w:r>
          </w:p>
        </w:tc>
        <w:tc>
          <w:tcPr>
            <w:tcW w:w="2154" w:type="dxa"/>
          </w:tcPr>
          <w:p w:rsidR="006E00A3" w:rsidRDefault="006E00A3">
            <w:pPr>
              <w:pStyle w:val="ConsPlusNormal"/>
              <w:jc w:val="center"/>
            </w:pPr>
            <w:r>
              <w:t>Низкая значимость</w:t>
            </w:r>
          </w:p>
        </w:tc>
      </w:tr>
      <w:tr w:rsidR="006E00A3">
        <w:tc>
          <w:tcPr>
            <w:tcW w:w="2381" w:type="dxa"/>
          </w:tcPr>
          <w:p w:rsidR="006E00A3" w:rsidRDefault="006E00A3">
            <w:pPr>
              <w:pStyle w:val="ConsPlusNormal"/>
            </w:pPr>
            <w:r>
              <w:t>Высокая вероятность</w:t>
            </w:r>
          </w:p>
        </w:tc>
        <w:tc>
          <w:tcPr>
            <w:tcW w:w="2324" w:type="dxa"/>
          </w:tcPr>
          <w:p w:rsidR="006E00A3" w:rsidRDefault="006E00A3">
            <w:pPr>
              <w:pStyle w:val="ConsPlusNormal"/>
            </w:pPr>
            <w:r>
              <w:t>Опасные риски</w:t>
            </w:r>
          </w:p>
        </w:tc>
        <w:tc>
          <w:tcPr>
            <w:tcW w:w="2211" w:type="dxa"/>
          </w:tcPr>
          <w:p w:rsidR="006E00A3" w:rsidRDefault="006E00A3">
            <w:pPr>
              <w:pStyle w:val="ConsPlusNormal"/>
            </w:pPr>
            <w:r>
              <w:t>Опасные риски</w:t>
            </w:r>
          </w:p>
        </w:tc>
        <w:tc>
          <w:tcPr>
            <w:tcW w:w="2154" w:type="dxa"/>
          </w:tcPr>
          <w:p w:rsidR="006E00A3" w:rsidRDefault="006E00A3">
            <w:pPr>
              <w:pStyle w:val="ConsPlusNormal"/>
            </w:pPr>
            <w:r>
              <w:t>Допустимые риски</w:t>
            </w:r>
          </w:p>
        </w:tc>
      </w:tr>
      <w:tr w:rsidR="006E00A3">
        <w:tc>
          <w:tcPr>
            <w:tcW w:w="2381" w:type="dxa"/>
          </w:tcPr>
          <w:p w:rsidR="006E00A3" w:rsidRDefault="006E00A3">
            <w:pPr>
              <w:pStyle w:val="ConsPlusNormal"/>
            </w:pPr>
            <w:r>
              <w:t>Средняя вероятность</w:t>
            </w:r>
          </w:p>
        </w:tc>
        <w:tc>
          <w:tcPr>
            <w:tcW w:w="2324" w:type="dxa"/>
          </w:tcPr>
          <w:p w:rsidR="006E00A3" w:rsidRDefault="006E00A3">
            <w:pPr>
              <w:pStyle w:val="ConsPlusNormal"/>
            </w:pPr>
            <w:r>
              <w:t>Опасные риски</w:t>
            </w:r>
          </w:p>
        </w:tc>
        <w:tc>
          <w:tcPr>
            <w:tcW w:w="2211" w:type="dxa"/>
          </w:tcPr>
          <w:p w:rsidR="006E00A3" w:rsidRDefault="006E00A3">
            <w:pPr>
              <w:pStyle w:val="ConsPlusNormal"/>
            </w:pPr>
            <w:r>
              <w:t>Допустимые риски</w:t>
            </w:r>
          </w:p>
        </w:tc>
        <w:tc>
          <w:tcPr>
            <w:tcW w:w="2154" w:type="dxa"/>
          </w:tcPr>
          <w:p w:rsidR="006E00A3" w:rsidRDefault="006E00A3">
            <w:pPr>
              <w:pStyle w:val="ConsPlusNormal"/>
            </w:pPr>
          </w:p>
        </w:tc>
      </w:tr>
      <w:tr w:rsidR="006E00A3">
        <w:tc>
          <w:tcPr>
            <w:tcW w:w="2381" w:type="dxa"/>
          </w:tcPr>
          <w:p w:rsidR="006E00A3" w:rsidRDefault="006E00A3">
            <w:pPr>
              <w:pStyle w:val="ConsPlusNormal"/>
            </w:pPr>
            <w:r>
              <w:t>Низкая вероятность</w:t>
            </w:r>
          </w:p>
        </w:tc>
        <w:tc>
          <w:tcPr>
            <w:tcW w:w="2324" w:type="dxa"/>
          </w:tcPr>
          <w:p w:rsidR="006E00A3" w:rsidRDefault="006E00A3">
            <w:pPr>
              <w:pStyle w:val="ConsPlusNormal"/>
            </w:pPr>
            <w:r>
              <w:t>Допустимые риски</w:t>
            </w:r>
          </w:p>
        </w:tc>
        <w:tc>
          <w:tcPr>
            <w:tcW w:w="2211" w:type="dxa"/>
          </w:tcPr>
          <w:p w:rsidR="006E00A3" w:rsidRDefault="006E00A3">
            <w:pPr>
              <w:pStyle w:val="ConsPlusNormal"/>
            </w:pPr>
          </w:p>
        </w:tc>
        <w:tc>
          <w:tcPr>
            <w:tcW w:w="2154" w:type="dxa"/>
          </w:tcPr>
          <w:p w:rsidR="006E00A3" w:rsidRDefault="006E00A3">
            <w:pPr>
              <w:pStyle w:val="ConsPlusNormal"/>
            </w:pPr>
          </w:p>
        </w:tc>
      </w:tr>
    </w:tbl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ind w:firstLine="540"/>
        <w:jc w:val="both"/>
      </w:pPr>
      <w:r>
        <w:t xml:space="preserve">Каждая МФО при составлении карты рисков самостоятельно оценивает значимость и вероятность реализации анализируемых рисков при помощи </w:t>
      </w:r>
      <w:hyperlink w:anchor="P244" w:history="1">
        <w:r>
          <w:rPr>
            <w:color w:val="0000FF"/>
          </w:rPr>
          <w:t>таблицы</w:t>
        </w:r>
      </w:hyperlink>
      <w:r>
        <w:t xml:space="preserve"> анализа рисков.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Title"/>
        <w:outlineLvl w:val="1"/>
      </w:pPr>
      <w:bookmarkStart w:id="5" w:name="P244"/>
      <w:bookmarkEnd w:id="5"/>
      <w:r>
        <w:t>Таблица 2. Таблица анализа рисков</w:t>
      </w:r>
    </w:p>
    <w:p w:rsidR="006E00A3" w:rsidRDefault="006E00A3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4"/>
        <w:gridCol w:w="1757"/>
        <w:gridCol w:w="1587"/>
        <w:gridCol w:w="2098"/>
        <w:gridCol w:w="1701"/>
        <w:gridCol w:w="1417"/>
      </w:tblGrid>
      <w:tr w:rsidR="006E00A3">
        <w:tc>
          <w:tcPr>
            <w:tcW w:w="454" w:type="dxa"/>
          </w:tcPr>
          <w:p w:rsidR="006E00A3" w:rsidRDefault="006E00A3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757" w:type="dxa"/>
          </w:tcPr>
          <w:p w:rsidR="006E00A3" w:rsidRDefault="006E00A3">
            <w:pPr>
              <w:pStyle w:val="ConsPlusNormal"/>
              <w:jc w:val="center"/>
            </w:pPr>
            <w:r>
              <w:t>Описание возможного фактора риска</w:t>
            </w:r>
          </w:p>
        </w:tc>
        <w:tc>
          <w:tcPr>
            <w:tcW w:w="1587" w:type="dxa"/>
          </w:tcPr>
          <w:p w:rsidR="006E00A3" w:rsidRDefault="006E00A3">
            <w:pPr>
              <w:pStyle w:val="ConsPlusNormal"/>
              <w:jc w:val="center"/>
            </w:pPr>
            <w:r>
              <w:t>Описание опасности риска для компании</w:t>
            </w:r>
          </w:p>
        </w:tc>
        <w:tc>
          <w:tcPr>
            <w:tcW w:w="2098" w:type="dxa"/>
          </w:tcPr>
          <w:p w:rsidR="006E00A3" w:rsidRDefault="006E00A3">
            <w:pPr>
              <w:pStyle w:val="ConsPlusNormal"/>
              <w:jc w:val="center"/>
            </w:pPr>
            <w:r>
              <w:t>Оценка возможного ущерба компании, в % от прибыли</w:t>
            </w:r>
          </w:p>
        </w:tc>
        <w:tc>
          <w:tcPr>
            <w:tcW w:w="1701" w:type="dxa"/>
          </w:tcPr>
          <w:p w:rsidR="006E00A3" w:rsidRDefault="006E00A3">
            <w:pPr>
              <w:pStyle w:val="ConsPlusNormal"/>
              <w:jc w:val="center"/>
            </w:pPr>
            <w:r>
              <w:t>Оценка опасности риска по пятибалльной шкале</w:t>
            </w:r>
          </w:p>
        </w:tc>
        <w:tc>
          <w:tcPr>
            <w:tcW w:w="1417" w:type="dxa"/>
          </w:tcPr>
          <w:p w:rsidR="006E00A3" w:rsidRDefault="006E00A3">
            <w:pPr>
              <w:pStyle w:val="ConsPlusNormal"/>
              <w:jc w:val="center"/>
            </w:pPr>
            <w:r>
              <w:t>Вероятность реализации риска, в %</w:t>
            </w:r>
          </w:p>
        </w:tc>
      </w:tr>
      <w:tr w:rsidR="006E00A3">
        <w:tc>
          <w:tcPr>
            <w:tcW w:w="454" w:type="dxa"/>
          </w:tcPr>
          <w:p w:rsidR="006E00A3" w:rsidRDefault="006E00A3">
            <w:pPr>
              <w:pStyle w:val="ConsPlusNormal"/>
            </w:pPr>
          </w:p>
        </w:tc>
        <w:tc>
          <w:tcPr>
            <w:tcW w:w="3344" w:type="dxa"/>
            <w:gridSpan w:val="2"/>
          </w:tcPr>
          <w:p w:rsidR="006E00A3" w:rsidRDefault="006E00A3">
            <w:pPr>
              <w:pStyle w:val="ConsPlusNormal"/>
            </w:pPr>
            <w:r>
              <w:t>Внешние факторы риска</w:t>
            </w:r>
          </w:p>
        </w:tc>
        <w:tc>
          <w:tcPr>
            <w:tcW w:w="2098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701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417" w:type="dxa"/>
          </w:tcPr>
          <w:p w:rsidR="006E00A3" w:rsidRDefault="006E00A3">
            <w:pPr>
              <w:pStyle w:val="ConsPlusNormal"/>
            </w:pPr>
          </w:p>
        </w:tc>
      </w:tr>
      <w:tr w:rsidR="006E00A3">
        <w:tc>
          <w:tcPr>
            <w:tcW w:w="454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757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587" w:type="dxa"/>
          </w:tcPr>
          <w:p w:rsidR="006E00A3" w:rsidRDefault="006E00A3">
            <w:pPr>
              <w:pStyle w:val="ConsPlusNormal"/>
            </w:pPr>
          </w:p>
        </w:tc>
        <w:tc>
          <w:tcPr>
            <w:tcW w:w="2098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701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417" w:type="dxa"/>
          </w:tcPr>
          <w:p w:rsidR="006E00A3" w:rsidRDefault="006E00A3">
            <w:pPr>
              <w:pStyle w:val="ConsPlusNormal"/>
            </w:pPr>
          </w:p>
        </w:tc>
      </w:tr>
      <w:tr w:rsidR="006E00A3">
        <w:tc>
          <w:tcPr>
            <w:tcW w:w="454" w:type="dxa"/>
          </w:tcPr>
          <w:p w:rsidR="006E00A3" w:rsidRDefault="006E00A3">
            <w:pPr>
              <w:pStyle w:val="ConsPlusNormal"/>
            </w:pPr>
          </w:p>
        </w:tc>
        <w:tc>
          <w:tcPr>
            <w:tcW w:w="3344" w:type="dxa"/>
            <w:gridSpan w:val="2"/>
          </w:tcPr>
          <w:p w:rsidR="006E00A3" w:rsidRDefault="006E00A3">
            <w:pPr>
              <w:pStyle w:val="ConsPlusNormal"/>
            </w:pPr>
            <w:r>
              <w:t>Внутренние факторы риска</w:t>
            </w:r>
          </w:p>
        </w:tc>
        <w:tc>
          <w:tcPr>
            <w:tcW w:w="2098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701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417" w:type="dxa"/>
          </w:tcPr>
          <w:p w:rsidR="006E00A3" w:rsidRDefault="006E00A3">
            <w:pPr>
              <w:pStyle w:val="ConsPlusNormal"/>
            </w:pPr>
          </w:p>
        </w:tc>
      </w:tr>
      <w:tr w:rsidR="006E00A3">
        <w:tc>
          <w:tcPr>
            <w:tcW w:w="454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757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587" w:type="dxa"/>
          </w:tcPr>
          <w:p w:rsidR="006E00A3" w:rsidRDefault="006E00A3">
            <w:pPr>
              <w:pStyle w:val="ConsPlusNormal"/>
            </w:pPr>
          </w:p>
        </w:tc>
        <w:tc>
          <w:tcPr>
            <w:tcW w:w="2098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701" w:type="dxa"/>
          </w:tcPr>
          <w:p w:rsidR="006E00A3" w:rsidRDefault="006E00A3">
            <w:pPr>
              <w:pStyle w:val="ConsPlusNormal"/>
            </w:pPr>
          </w:p>
        </w:tc>
        <w:tc>
          <w:tcPr>
            <w:tcW w:w="1417" w:type="dxa"/>
          </w:tcPr>
          <w:p w:rsidR="006E00A3" w:rsidRDefault="006E00A3">
            <w:pPr>
              <w:pStyle w:val="ConsPlusNormal"/>
            </w:pPr>
          </w:p>
        </w:tc>
      </w:tr>
    </w:tbl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right"/>
        <w:outlineLvl w:val="0"/>
      </w:pPr>
      <w:r>
        <w:t>Приложение N 3</w:t>
      </w:r>
    </w:p>
    <w:p w:rsidR="006E00A3" w:rsidRDefault="006E00A3">
      <w:pPr>
        <w:pStyle w:val="ConsPlusNormal"/>
        <w:jc w:val="right"/>
      </w:pPr>
      <w:r>
        <w:t>к Стандарту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center"/>
      </w:pPr>
      <w:bookmarkStart w:id="6" w:name="P282"/>
      <w:bookmarkEnd w:id="6"/>
      <w:r>
        <w:t>Рекомендуемая форма отчетности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nformat"/>
        <w:jc w:val="both"/>
      </w:pPr>
      <w:r>
        <w:t xml:space="preserve">                                ОТЧЕТНОСТЬ</w:t>
      </w:r>
    </w:p>
    <w:p w:rsidR="006E00A3" w:rsidRDefault="006E00A3">
      <w:pPr>
        <w:pStyle w:val="ConsPlusNonformat"/>
        <w:jc w:val="both"/>
      </w:pPr>
      <w:r>
        <w:t xml:space="preserve">                       о системе управления рисками</w:t>
      </w:r>
    </w:p>
    <w:p w:rsidR="006E00A3" w:rsidRDefault="006E00A3">
      <w:pPr>
        <w:pStyle w:val="ConsPlusNonformat"/>
        <w:jc w:val="both"/>
      </w:pPr>
      <w:r>
        <w:t xml:space="preserve">                   по состоянию на "__" _____ 20__ года</w:t>
      </w:r>
    </w:p>
    <w:p w:rsidR="006E00A3" w:rsidRDefault="006E00A3">
      <w:pPr>
        <w:pStyle w:val="ConsPlusNonformat"/>
        <w:jc w:val="both"/>
      </w:pPr>
    </w:p>
    <w:p w:rsidR="006E00A3" w:rsidRDefault="006E00A3">
      <w:pPr>
        <w:pStyle w:val="ConsPlusNonformat"/>
        <w:jc w:val="both"/>
      </w:pPr>
      <w:r>
        <w:t xml:space="preserve">                         Периодичность: _________</w:t>
      </w:r>
    </w:p>
    <w:p w:rsidR="006E00A3" w:rsidRDefault="006E00A3">
      <w:pPr>
        <w:pStyle w:val="ConsPlusNonformat"/>
        <w:jc w:val="both"/>
      </w:pPr>
    </w:p>
    <w:p w:rsidR="006E00A3" w:rsidRDefault="006E00A3">
      <w:pPr>
        <w:pStyle w:val="ConsPlusNonformat"/>
        <w:jc w:val="both"/>
      </w:pPr>
      <w:r>
        <w:t>Раскрывается  основная  информация  по рискам и статусу процесса управления</w:t>
      </w:r>
    </w:p>
    <w:p w:rsidR="006E00A3" w:rsidRDefault="006E00A3">
      <w:pPr>
        <w:pStyle w:val="ConsPlusNonformat"/>
        <w:jc w:val="both"/>
      </w:pPr>
      <w:r>
        <w:t>рисками, текущими и предстоящими задачами в области управления рисками.</w:t>
      </w:r>
    </w:p>
    <w:p w:rsidR="006E00A3" w:rsidRDefault="006E00A3">
      <w:pPr>
        <w:pStyle w:val="ConsPlusNonformat"/>
        <w:jc w:val="both"/>
      </w:pPr>
    </w:p>
    <w:p w:rsidR="006E00A3" w:rsidRDefault="006E00A3">
      <w:pPr>
        <w:pStyle w:val="ConsPlusNonformat"/>
        <w:jc w:val="both"/>
      </w:pPr>
      <w:r>
        <w:t>Приложение:</w:t>
      </w:r>
    </w:p>
    <w:p w:rsidR="006E00A3" w:rsidRDefault="006E00A3">
      <w:pPr>
        <w:pStyle w:val="ConsPlusNonformat"/>
        <w:jc w:val="both"/>
      </w:pPr>
      <w:r>
        <w:t>1. Реестр рисков.</w:t>
      </w:r>
    </w:p>
    <w:p w:rsidR="006E00A3" w:rsidRDefault="006E00A3">
      <w:pPr>
        <w:pStyle w:val="ConsPlusNonformat"/>
        <w:jc w:val="both"/>
      </w:pPr>
      <w:r>
        <w:t>2. Паспорт риска.</w:t>
      </w:r>
    </w:p>
    <w:p w:rsidR="006E00A3" w:rsidRDefault="006E00A3">
      <w:pPr>
        <w:pStyle w:val="ConsPlusNonformat"/>
        <w:jc w:val="both"/>
      </w:pPr>
      <w:r>
        <w:t>3. Карта рисков.</w:t>
      </w:r>
    </w:p>
    <w:p w:rsidR="006E00A3" w:rsidRDefault="006E00A3">
      <w:pPr>
        <w:pStyle w:val="ConsPlusNonformat"/>
        <w:jc w:val="both"/>
      </w:pPr>
    </w:p>
    <w:p w:rsidR="006E00A3" w:rsidRDefault="006E00A3">
      <w:pPr>
        <w:pStyle w:val="ConsPlusNonformat"/>
        <w:jc w:val="both"/>
      </w:pPr>
      <w:r>
        <w:t>Ответственное лицо _____________ ___________ ______________________________</w:t>
      </w:r>
    </w:p>
    <w:p w:rsidR="006E00A3" w:rsidRDefault="006E00A3">
      <w:pPr>
        <w:pStyle w:val="ConsPlusNonformat"/>
        <w:jc w:val="both"/>
      </w:pPr>
      <w:r>
        <w:t xml:space="preserve">                    (должность)   (подпись)      (расшифровка подписи)</w:t>
      </w:r>
    </w:p>
    <w:p w:rsidR="006E00A3" w:rsidRDefault="006E00A3">
      <w:pPr>
        <w:pStyle w:val="ConsPlusNonformat"/>
        <w:jc w:val="both"/>
      </w:pPr>
    </w:p>
    <w:p w:rsidR="006E00A3" w:rsidRDefault="006E00A3">
      <w:pPr>
        <w:pStyle w:val="ConsPlusNonformat"/>
        <w:jc w:val="both"/>
      </w:pPr>
      <w:r>
        <w:t>"__" _______ 20__ г.</w:t>
      </w: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jc w:val="both"/>
      </w:pPr>
    </w:p>
    <w:p w:rsidR="006E00A3" w:rsidRDefault="006E00A3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0429" w:rsidRDefault="006E00A3"/>
    <w:sectPr w:rsidR="00B90429" w:rsidSect="000A1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0A3"/>
    <w:rsid w:val="002E24E5"/>
    <w:rsid w:val="006E00A3"/>
    <w:rsid w:val="0076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4E8F91-CC11-4EE3-893F-D50AD976B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00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E00A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E00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6E00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F0F421AD224C463CE251A51874E791CA4BEF900FD7685EA8961F519DBFA871C8E19367E1D7DEB2E8233852C63CAD2653AF791F387445D41f4i0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EF0F421AD224C463CE251A51874E791CA4BEFB08FB7085EA8961F519DBFA871C8E19367E1D7DEB2F8333852C63CAD2653AF791F387445D41f4i0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F0F421AD224C463CE251A51874E791CA4BEF900FD7685EA8961F519DBFA871C8E19367E1D7DEA2C8833852C63CAD2653AF791F387445D41f4i0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EF0F421AD224C463CE251A51874E791CA4BEF60DFC7885EA8961F519DBFA871C8E19367E1D7DEB278E33852C63CAD2653AF791F387445D41f4i0M" TargetMode="External"/><Relationship Id="rId10" Type="http://schemas.openxmlformats.org/officeDocument/2006/relationships/hyperlink" Target="consultantplus://offline/ref=EF0F421AD224C463CE251A51874E791CA4BEF60DFC7885EA8961F519DBFA871C9C196E721F7FF52F8226D37D25f9iEM" TargetMode="External"/><Relationship Id="rId4" Type="http://schemas.openxmlformats.org/officeDocument/2006/relationships/hyperlink" Target="consultantplus://offline/ref=EF0F421AD224C463CE251A51874E791CA4BEF60DFC7885EA8961F519DBFA871C8E19367E1D7DEB298333852C63CAD2653AF791F387445D41f4i0M" TargetMode="External"/><Relationship Id="rId9" Type="http://schemas.openxmlformats.org/officeDocument/2006/relationships/hyperlink" Target="consultantplus://offline/ref=EF0F421AD224C463CE251A51874E791CA4BEF900FD7685EA8961F519DBFA871C9C196E721F7FF52F8226D37D25f9iE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4964</Words>
  <Characters>28295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inteh</dc:creator>
  <cp:keywords/>
  <dc:description/>
  <cp:lastModifiedBy>inteh</cp:lastModifiedBy>
  <cp:revision>1</cp:revision>
  <dcterms:created xsi:type="dcterms:W3CDTF">2021-09-22T12:34:00Z</dcterms:created>
  <dcterms:modified xsi:type="dcterms:W3CDTF">2021-09-22T12:35:00Z</dcterms:modified>
</cp:coreProperties>
</file>